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4072255</wp:posOffset>
                </wp:positionH>
                <wp:positionV relativeFrom="paragraph">
                  <wp:posOffset>-71120</wp:posOffset>
                </wp:positionV>
                <wp:extent cx="19907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1A0BE6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1A0BE6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1A0BE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ZVUK</w:t>
            </w:r>
            <w:r w:rsidR="00DB46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V </w:t>
            </w:r>
            <w:r w:rsidR="00DB4688">
              <w:rPr>
                <w:sz w:val="28"/>
                <w:szCs w:val="28"/>
              </w:rPr>
              <w:t xml:space="preserve"> Power Poin</w:t>
            </w:r>
            <w:r>
              <w:rPr>
                <w:sz w:val="28"/>
                <w:szCs w:val="28"/>
              </w:rPr>
              <w:t>tu zpracovaná křížovka určená k opakování základních pojmů z akustiky.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1A0BE6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1A0BE6">
              <w:rPr>
                <w:sz w:val="28"/>
                <w:szCs w:val="28"/>
              </w:rPr>
              <w:t>základních pojmů z akustiky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1A0BE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kmitání, vlnění, zvuk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1A0BE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křížovka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1A0BE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opakování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1A0BE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1A0BE6"/>
    <w:rsid w:val="0030254B"/>
    <w:rsid w:val="00764E31"/>
    <w:rsid w:val="009C69E8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2011-11-24T13:21:00Z</dcterms:modified>
</cp:coreProperties>
</file>